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780"/>
        <w:jc w:val="center"/>
        <w:spacing w:line="240" w:lineRule="auto"/>
        <w:tabs>
          <w:tab w:val="clear" w:pos="708" w:leader="none"/>
          <w:tab w:val="left" w:pos="828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</w:t>
      </w:r>
      <w:r>
        <w:rPr>
          <w:rFonts w:ascii="Times New Roman" w:hAnsi="Times New Roman" w:eastAsia="Times New Roman" w:cs="Times New Roman"/>
          <w:spacing w:val="-5"/>
          <w:sz w:val="24"/>
          <w:szCs w:val="24"/>
          <w:lang w:bidi="ru-RU"/>
        </w:rPr>
        <w:t xml:space="preserve">Приложение № 1 к Техническим требованиям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80"/>
        <w:jc w:val="center"/>
        <w:spacing w:line="240" w:lineRule="auto"/>
        <w:tabs>
          <w:tab w:val="clear" w:pos="708" w:leader="none"/>
          <w:tab w:val="left" w:pos="8280" w:leader="none"/>
        </w:tabs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/>
          <w:i w:val="0"/>
          <w:iCs w:val="0"/>
          <w:sz w:val="28"/>
          <w:szCs w:val="28"/>
        </w:rPr>
        <w:t xml:space="preserve">Ведомость объемов работ</w:t>
      </w:r>
      <w:r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highlight w:val="none"/>
        </w:rPr>
      </w:r>
    </w:p>
    <w:p>
      <w:pPr>
        <w:pStyle w:val="780"/>
        <w:jc w:val="center"/>
        <w:keepLines/>
        <w:keepNext/>
        <w:spacing w:after="0" w:afterAutospacing="0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  <w:highlight w:val="yellow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  <w:highlight w:val="yellow"/>
        </w:rPr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en-US"/>
        </w:rPr>
        <w:t xml:space="preserve">ОКПД2 71.20.12.000</w:t>
      </w:r>
      <w:r/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  <w:highlight w:val="yellow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  <w:highlight w:val="yellow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 xml:space="preserve"> Оказание услуг по комплексному диагностическому 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 xml:space="preserve">бследованию трансформатора собственных нужд ТСН-2 для СП Нерюнгринская ГРЭС, г. Нерюнгри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  <w:highlight w:val="none"/>
        </w:rPr>
      </w:r>
    </w:p>
    <w:p>
      <w:pPr>
        <w:jc w:val="center"/>
        <w:keepLines/>
        <w:keepNext/>
        <w:spacing w:after="0" w:afterAutospacing="0" w:line="240" w:lineRule="auto"/>
        <w:rPr>
          <w:rFonts w:ascii="Times New Roman" w:hAnsi="Times New Roman" w:cs="Times New Roman"/>
          <w:bCs w:val="0"/>
          <w:i w:val="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Cs w:val="0"/>
          <w:i w:val="0"/>
          <w:sz w:val="24"/>
          <w:szCs w:val="24"/>
          <w:highlight w:val="none"/>
        </w:rPr>
      </w:r>
    </w:p>
    <w:tbl>
      <w:tblPr>
        <w:tblW w:w="9354" w:type="dxa"/>
        <w:tblInd w:w="0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471"/>
        <w:gridCol w:w="6474"/>
        <w:gridCol w:w="1276"/>
        <w:gridCol w:w="1134"/>
      </w:tblGrid>
      <w:tr>
        <w:tblPrEx/>
        <w:trPr>
          <w:trHeight w:val="49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71" w:type="dxa"/>
            <w:vAlign w:val="center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  <w:t xml:space="preserve">№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  <w:t xml:space="preserve">пп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474" w:type="dxa"/>
            <w:vAlign w:val="center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  <w:t xml:space="preserve"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  <w:t xml:space="preserve">Ед. изм.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  <w:t xml:space="preserve">Кол.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71" w:type="dxa"/>
            <w:vAlign w:val="center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474" w:type="dxa"/>
            <w:vAlign w:val="center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71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474" w:type="dxa"/>
            <w:textDirection w:val="lrTb"/>
            <w:noWrap w:val="false"/>
          </w:tcPr>
          <w:p>
            <w:pPr>
              <w:pStyle w:val="857"/>
              <w:jc w:val="center"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Оц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енка влажности твердой изоляции.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en-US" w:bidi="ar-SA"/>
              </w:rPr>
              <w:t xml:space="preserve">услуга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71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474" w:type="dxa"/>
            <w:textDirection w:val="lrTb"/>
            <w:noWrap w:val="false"/>
          </w:tcPr>
          <w:p>
            <w:pPr>
              <w:pStyle w:val="8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Оценка деструктивных процессов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в бумаге.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en-US" w:bidi="ar-SA"/>
              </w:rPr>
              <w:t xml:space="preserve">услуга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71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474" w:type="dxa"/>
            <w:textDirection w:val="lrTb"/>
            <w:noWrap w:val="false"/>
          </w:tcPr>
          <w:p>
            <w:pPr>
              <w:pStyle w:val="857"/>
              <w:jc w:val="center"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Оценка загрязнения твердой изоля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ции продуктами разложения масла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бумаги и конструкционных материалов.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8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en-US" w:bidi="ar-SA"/>
              </w:rPr>
              <w:t xml:space="preserve">услуга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667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71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474" w:type="dxa"/>
            <w:textDirection w:val="lrTb"/>
            <w:noWrap w:val="false"/>
          </w:tcPr>
          <w:p>
            <w:pPr>
              <w:pStyle w:val="8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Определение  наличия  и места расположения источников частичных разрядов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(ЧР) в силовом трансформаторе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реакторе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en-US" w:bidi="ar-SA"/>
              </w:rPr>
              <w:t xml:space="preserve">услуга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71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474" w:type="dxa"/>
            <w:textDirection w:val="lrTb"/>
            <w:noWrap w:val="false"/>
          </w:tcPr>
          <w:p>
            <w:pPr>
              <w:pStyle w:val="857"/>
              <w:jc w:val="center"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Оценка  состояния  магнитной системы.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8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en-US" w:bidi="ar-SA"/>
              </w:rPr>
              <w:t xml:space="preserve">услуга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71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  <w:t xml:space="preserve">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474" w:type="dxa"/>
            <w:textDirection w:val="lrTb"/>
            <w:noWrap w:val="false"/>
          </w:tcPr>
          <w:p>
            <w:pPr>
              <w:pStyle w:val="857"/>
              <w:jc w:val="center"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Оценка  динамического состояния обмоток.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8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en-US" w:bidi="ar-SA"/>
              </w:rPr>
              <w:t xml:space="preserve">услуга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71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  <w:t xml:space="preserve">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474" w:type="dxa"/>
            <w:textDirection w:val="lrTb"/>
            <w:noWrap w:val="false"/>
          </w:tcPr>
          <w:p>
            <w:pPr>
              <w:pStyle w:val="857"/>
              <w:jc w:val="center"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Измерение сопротивления изоляции обмоток трансформатора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реактора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8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en-US" w:bidi="ar-SA"/>
              </w:rPr>
              <w:t xml:space="preserve">услуга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71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  <w:t xml:space="preserve">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474" w:type="dxa"/>
            <w:textDirection w:val="lrTb"/>
            <w:noWrap w:val="false"/>
          </w:tcPr>
          <w:p>
            <w:pPr>
              <w:pStyle w:val="8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Измерение тангенса угла диэлектрических потерь изоляции.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en-US" w:bidi="ar-SA"/>
              </w:rPr>
              <w:t xml:space="preserve">услуга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71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  <w:t xml:space="preserve">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474" w:type="dxa"/>
            <w:textDirection w:val="lrTb"/>
            <w:noWrap w:val="false"/>
          </w:tcPr>
          <w:p>
            <w:pPr>
              <w:pStyle w:val="857"/>
              <w:jc w:val="center"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Определение отношения 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/С50 (степень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увлажненности изоляции обмоток)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8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en-US" w:bidi="ar-SA"/>
              </w:rPr>
              <w:t xml:space="preserve">услуга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71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  <w:t xml:space="preserve">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474" w:type="dxa"/>
            <w:textDirection w:val="lrTb"/>
            <w:noWrap w:val="false"/>
          </w:tcPr>
          <w:p>
            <w:pPr>
              <w:pStyle w:val="8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Проведение размагничивания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магнитопровода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для исключения влияния остаточного намагничивания на достоверность измеренных значений.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en-US" w:bidi="ar-SA"/>
              </w:rPr>
              <w:t xml:space="preserve">услуга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71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  <w:t xml:space="preserve">11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474" w:type="dxa"/>
            <w:textDirection w:val="lrTb"/>
            <w:noWrap w:val="false"/>
          </w:tcPr>
          <w:p>
            <w:pPr>
              <w:pStyle w:val="857"/>
              <w:jc w:val="center"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Измерение тока потерь холостого хода.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8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en-US" w:bidi="ar-SA"/>
              </w:rPr>
              <w:t xml:space="preserve">услуга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71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  <w:t xml:space="preserve">12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474" w:type="dxa"/>
            <w:textDirection w:val="lrTb"/>
            <w:noWrap w:val="false"/>
          </w:tcPr>
          <w:p>
            <w:pPr>
              <w:pStyle w:val="857"/>
              <w:jc w:val="center"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Оценка состояния трансформаторного масла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в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основном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баке и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баке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РПН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8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en-US" w:bidi="ar-SA"/>
              </w:rPr>
              <w:t xml:space="preserve">услуга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17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71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  <w:t xml:space="preserve">13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474" w:type="dxa"/>
            <w:textDirection w:val="lrTb"/>
            <w:noWrap w:val="false"/>
          </w:tcPr>
          <w:p>
            <w:pPr>
              <w:pStyle w:val="8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Оценка состояния системы охлаждения трансформатора.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en-US" w:bidi="ar-SA"/>
              </w:rPr>
              <w:t xml:space="preserve">услуга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6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71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  <w:t xml:space="preserve">14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474" w:type="dxa"/>
            <w:textDirection w:val="lrTb"/>
            <w:noWrap w:val="false"/>
          </w:tcPr>
          <w:p>
            <w:pPr>
              <w:pStyle w:val="857"/>
              <w:jc w:val="center"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Оценка работы  системы очистки трансформаторного масла.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8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en-US" w:bidi="ar-SA"/>
              </w:rPr>
              <w:t xml:space="preserve">услуга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71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  <w:t xml:space="preserve">15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474" w:type="dxa"/>
            <w:textDirection w:val="lrTb"/>
            <w:noWrap w:val="false"/>
          </w:tcPr>
          <w:p>
            <w:pPr>
              <w:pStyle w:val="8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Оценка состояния контактной системы,  привода, переключающего устройства РПН.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en-US" w:bidi="ar-SA"/>
              </w:rPr>
              <w:t xml:space="preserve">услуга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71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  <w:t xml:space="preserve">16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474" w:type="dxa"/>
            <w:textDirection w:val="lrTb"/>
            <w:noWrap w:val="false"/>
          </w:tcPr>
          <w:p>
            <w:pPr>
              <w:pStyle w:val="857"/>
              <w:jc w:val="center"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Оценка состояния бака  и уплотнения.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8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en-US" w:bidi="ar-SA"/>
              </w:rPr>
              <w:t xml:space="preserve">услуга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71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  <w:t xml:space="preserve">17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474" w:type="dxa"/>
            <w:textDirection w:val="lrTb"/>
            <w:noWrap w:val="false"/>
          </w:tcPr>
          <w:p>
            <w:pPr>
              <w:pStyle w:val="857"/>
              <w:jc w:val="center"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Оценка состояния расширителя и системы защиты  трансформаторного масла.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8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en-US" w:bidi="ar-SA"/>
              </w:rPr>
              <w:t xml:space="preserve">услуга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71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  <w:t xml:space="preserve">18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474" w:type="dxa"/>
            <w:textDirection w:val="lrTb"/>
            <w:noWrap w:val="false"/>
          </w:tcPr>
          <w:p>
            <w:pPr>
              <w:pStyle w:val="857"/>
              <w:jc w:val="center"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Проведение электрических измерений на отключенном  трансформаторе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в соот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ветствии с РД 34.45-51.300-97 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6-е издание, с изменениями и дополнениями по состоянию на 01.10.2006года).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8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en-US" w:bidi="ar-SA"/>
              </w:rPr>
              <w:t xml:space="preserve">услуга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71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  <w:t xml:space="preserve">19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474" w:type="dxa"/>
            <w:textDirection w:val="lrTb"/>
            <w:noWrap w:val="false"/>
          </w:tcPr>
          <w:p>
            <w:pPr>
              <w:pStyle w:val="857"/>
              <w:jc w:val="center"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Проведение измерений и испытаний в режиме нагрузки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 холостого хода трансформатора: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8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en-US" w:bidi="ar-SA"/>
              </w:rPr>
              <w:t xml:space="preserve">услуга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8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71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  <w:t xml:space="preserve">20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474" w:type="dxa"/>
            <w:textDirection w:val="lrTb"/>
            <w:noWrap w:val="false"/>
          </w:tcPr>
          <w:p>
            <w:pPr>
              <w:pStyle w:val="8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Измерение частичных  и других электрических разрядов.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en-US" w:bidi="ar-SA"/>
              </w:rPr>
              <w:t xml:space="preserve">услуга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71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  <w:t xml:space="preserve">21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474" w:type="dxa"/>
            <w:textDirection w:val="lrTb"/>
            <w:noWrap w:val="false"/>
          </w:tcPr>
          <w:p>
            <w:pPr>
              <w:pStyle w:val="8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локализация ЧР, а также искровых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 дуговых  разрядов.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en-US" w:bidi="ar-SA"/>
              </w:rPr>
              <w:t xml:space="preserve">услуга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71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  <w:t xml:space="preserve">22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474" w:type="dxa"/>
            <w:textDirection w:val="lrTb"/>
            <w:noWrap w:val="false"/>
          </w:tcPr>
          <w:p>
            <w:pPr>
              <w:pStyle w:val="8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Тепловизионное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обследование.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en-US" w:bidi="ar-SA"/>
              </w:rPr>
              <w:t xml:space="preserve">услуга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55" w:type="dxa"/>
              <w:top w:w="55" w:type="dxa"/>
              <w:right w:w="55" w:type="dxa"/>
              <w:bottom w:w="55" w:type="dxa"/>
            </w:tcMar>
            <w:tcW w:w="471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  <w:t xml:space="preserve">23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55" w:type="dxa"/>
              <w:top w:w="55" w:type="dxa"/>
              <w:right w:w="55" w:type="dxa"/>
              <w:bottom w:w="55" w:type="dxa"/>
            </w:tcMar>
            <w:tcW w:w="6474" w:type="dxa"/>
            <w:textDirection w:val="lrTb"/>
            <w:noWrap w:val="false"/>
          </w:tcPr>
          <w:p>
            <w:pPr>
              <w:pStyle w:val="8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Вибрационное обследование.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55" w:type="dxa"/>
              <w:top w:w="55" w:type="dxa"/>
              <w:right w:w="55" w:type="dxa"/>
              <w:bottom w:w="55" w:type="dxa"/>
            </w:tcMar>
            <w:tcW w:w="1276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en-US" w:bidi="ar-SA"/>
              </w:rPr>
              <w:t xml:space="preserve">услуга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55" w:type="dxa"/>
              <w:top w:w="55" w:type="dxa"/>
              <w:right w:w="55" w:type="dxa"/>
              <w:bottom w:w="55" w:type="dxa"/>
            </w:tcMar>
            <w:tcW w:w="1134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81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55" w:type="dxa"/>
              <w:top w:w="55" w:type="dxa"/>
              <w:right w:w="55" w:type="dxa"/>
              <w:bottom w:w="55" w:type="dxa"/>
            </w:tcMar>
            <w:tcW w:w="471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  <w:t xml:space="preserve">24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55" w:type="dxa"/>
              <w:top w:w="55" w:type="dxa"/>
              <w:right w:w="55" w:type="dxa"/>
              <w:bottom w:w="55" w:type="dxa"/>
            </w:tcMar>
            <w:tcW w:w="6474" w:type="dxa"/>
            <w:textDirection w:val="lrTb"/>
            <w:noWrap w:val="false"/>
          </w:tcPr>
          <w:p>
            <w:pPr>
              <w:pStyle w:val="8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Акустическое обследование.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55" w:type="dxa"/>
              <w:top w:w="55" w:type="dxa"/>
              <w:right w:w="55" w:type="dxa"/>
              <w:bottom w:w="55" w:type="dxa"/>
            </w:tcMar>
            <w:tcW w:w="1276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en-US" w:bidi="ar-SA"/>
              </w:rPr>
              <w:t xml:space="preserve">услуга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55" w:type="dxa"/>
              <w:top w:w="55" w:type="dxa"/>
              <w:right w:w="55" w:type="dxa"/>
              <w:bottom w:w="55" w:type="dxa"/>
            </w:tcMar>
            <w:tcW w:w="1134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55" w:type="dxa"/>
              <w:top w:w="55" w:type="dxa"/>
              <w:right w:w="55" w:type="dxa"/>
              <w:bottom w:w="55" w:type="dxa"/>
            </w:tcMar>
            <w:tcW w:w="471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  <w:t xml:space="preserve">25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55" w:type="dxa"/>
              <w:top w:w="55" w:type="dxa"/>
              <w:right w:w="55" w:type="dxa"/>
              <w:bottom w:w="55" w:type="dxa"/>
            </w:tcMar>
            <w:tcW w:w="6474" w:type="dxa"/>
            <w:textDirection w:val="lrTb"/>
            <w:noWrap w:val="false"/>
          </w:tcPr>
          <w:p>
            <w:pPr>
              <w:pStyle w:val="8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Измерение уровня магнитного поля.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55" w:type="dxa"/>
              <w:top w:w="55" w:type="dxa"/>
              <w:right w:w="55" w:type="dxa"/>
              <w:bottom w:w="55" w:type="dxa"/>
            </w:tcMar>
            <w:tcW w:w="1276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en-US" w:bidi="ar-SA"/>
              </w:rPr>
              <w:t xml:space="preserve">услуга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55" w:type="dxa"/>
              <w:top w:w="55" w:type="dxa"/>
              <w:right w:w="55" w:type="dxa"/>
              <w:bottom w:w="55" w:type="dxa"/>
            </w:tcMar>
            <w:tcW w:w="1134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71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  <w:t xml:space="preserve">26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474" w:type="dxa"/>
            <w:textDirection w:val="lrTb"/>
            <w:noWrap w:val="false"/>
          </w:tcPr>
          <w:p>
            <w:pPr>
              <w:pStyle w:val="8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Отбор проб трансформаторного масла из баков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трансформатора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из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РПН,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маслонаполненных вводов, для проведения анализов в полном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объёме ФХАМ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соответствии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с п.1-11 таблицы 25,4 РД 34.45-51.300-97)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 ХАРГ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РД 153-34.0-46.302-00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en-US" w:bidi="ar-SA"/>
              </w:rPr>
              <w:t xml:space="preserve">услуга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71" w:type="dxa"/>
            <w:vMerge w:val="restart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  <w:t xml:space="preserve">27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474" w:type="dxa"/>
            <w:vMerge w:val="restart"/>
            <w:textDirection w:val="lrTb"/>
            <w:noWrap w:val="false"/>
          </w:tcPr>
          <w:p>
            <w:pPr>
              <w:pStyle w:val="8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Определение фактической перегрузочной способности и допустимого времени работы трансформаторов.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vMerge w:val="restart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en-US" w:bidi="ar-SA"/>
              </w:rPr>
              <w:t xml:space="preserve">услуга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71" w:type="dxa"/>
            <w:vMerge w:val="restart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  <w:t xml:space="preserve">28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474" w:type="dxa"/>
            <w:vMerge w:val="restart"/>
            <w:textDirection w:val="lrTb"/>
            <w:noWrap w:val="false"/>
          </w:tcPr>
          <w:p>
            <w:pPr>
              <w:pStyle w:val="857"/>
              <w:jc w:val="center"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Обработка  полученных данных, анализ  результатов испытаний и измерений.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8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vMerge w:val="restart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en-US" w:bidi="ar-SA"/>
              </w:rPr>
              <w:t xml:space="preserve">услуга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780"/>
        <w:jc w:val="left"/>
        <w:spacing w:before="0" w:beforeAutospacing="0" w:after="200" w:afterAutospacing="0" w:line="276" w:lineRule="auto"/>
        <w:widowControl/>
      </w:pPr>
      <w:r/>
      <w:r/>
    </w:p>
    <w:sectPr>
      <w:footnotePr/>
      <w:endnotePr/>
      <w:type w:val="nextPage"/>
      <w:pgSz w:w="11906" w:h="16838" w:orient="portrait"/>
      <w:pgMar w:top="1134" w:right="850" w:bottom="1134" w:left="1701" w:header="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Times New Roman">
    <w:panose1 w:val="02020603050405020304"/>
  </w:font>
  <w:font w:name="Courier New">
    <w:panose1 w:val="02070309020205020404"/>
  </w:font>
  <w:font w:name="Noto Sans CJK SC">
    <w:panose1 w:val="020B0502040504020204"/>
  </w:font>
  <w:font w:name="Wingdings">
    <w:panose1 w:val="05010000000000000000"/>
  </w:font>
  <w:font w:name="Liberation Sans">
    <w:panose1 w:val="020B0604020202020204"/>
  </w:font>
  <w:font w:name="Arial Unicode MS">
    <w:panose1 w:val="020B06040202020202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754" w:hanging="360"/>
      </w:pPr>
      <w:rPr>
        <w:rFonts w:hint="default" w:ascii="Courier New" w:hAnsi="Courier New" w:cs="Times New Roman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7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9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1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3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5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7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9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14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754" w:hanging="360"/>
      </w:pPr>
      <w:rPr>
        <w:rFonts w:hint="default" w:ascii="Courier New" w:hAnsi="Courier New" w:cs="Times New Roman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7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9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1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3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5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7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9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14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754" w:hanging="360"/>
      </w:pPr>
      <w:rPr>
        <w:rFonts w:hint="default" w:ascii="Courier New" w:hAnsi="Courier New" w:cs="Times New Roman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7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9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1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3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5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7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9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14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754" w:hanging="360"/>
      </w:pPr>
      <w:rPr>
        <w:rFonts w:hint="default" w:ascii="Courier New" w:hAnsi="Courier New" w:cs="Times New Roman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7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9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1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3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5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7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9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14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754" w:hanging="360"/>
      </w:pPr>
      <w:rPr>
        <w:rFonts w:hint="default" w:ascii="Courier New" w:hAnsi="Courier New" w:cs="Times New Roman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7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9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1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3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5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7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9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14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754" w:hanging="360"/>
      </w:pPr>
      <w:rPr>
        <w:rFonts w:hint="default" w:ascii="Courier New" w:hAnsi="Courier New" w:cs="Times New Roman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7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9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1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3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5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7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9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14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754" w:hanging="360"/>
      </w:pPr>
      <w:rPr>
        <w:rFonts w:hint="default" w:ascii="Courier New" w:hAnsi="Courier New" w:cs="Times New Roman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7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9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1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3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5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7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9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14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754" w:hanging="360"/>
      </w:pPr>
      <w:rPr>
        <w:rFonts w:hint="default" w:ascii="Courier New" w:hAnsi="Courier New" w:cs="Times New Roman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7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9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1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3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5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7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9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14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754" w:hanging="360"/>
      </w:pPr>
      <w:rPr>
        <w:rFonts w:hint="default" w:ascii="Courier New" w:hAnsi="Courier New" w:cs="Times New Roman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7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9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1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3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5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7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9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14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754" w:hanging="360"/>
      </w:pPr>
      <w:rPr>
        <w:rFonts w:hint="default" w:ascii="Courier New" w:hAnsi="Courier New" w:cs="Times New Roman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7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9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1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3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5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7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9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14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754" w:hanging="360"/>
      </w:pPr>
      <w:rPr>
        <w:rFonts w:hint="default" w:ascii="Courier New" w:hAnsi="Courier New" w:cs="Times New Roman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7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9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1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3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5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7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9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14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754" w:hanging="360"/>
      </w:pPr>
      <w:rPr>
        <w:rFonts w:hint="default" w:ascii="Courier New" w:hAnsi="Courier New" w:cs="Times New Roman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7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9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1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3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5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7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9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14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754" w:hanging="360"/>
      </w:pPr>
      <w:rPr>
        <w:rFonts w:hint="default" w:ascii="Courier New" w:hAnsi="Courier New" w:cs="Times New Roman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7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9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1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3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5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7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9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14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754" w:hanging="360"/>
      </w:pPr>
      <w:rPr>
        <w:rFonts w:hint="default" w:ascii="Courier New" w:hAnsi="Courier New" w:cs="Times New Roman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7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9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1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3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5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7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9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14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754" w:hanging="360"/>
      </w:pPr>
      <w:rPr>
        <w:rFonts w:hint="default" w:ascii="Courier New" w:hAnsi="Courier New" w:cs="Times New Roman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7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9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1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3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5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7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9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14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754" w:hanging="360"/>
      </w:pPr>
      <w:rPr>
        <w:rFonts w:hint="default" w:ascii="Courier New" w:hAnsi="Courier New" w:cs="Times New Roman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7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9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1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3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5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7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9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14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754" w:hanging="360"/>
      </w:pPr>
      <w:rPr>
        <w:rFonts w:hint="default" w:ascii="Courier New" w:hAnsi="Courier New" w:cs="Times New Roman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7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9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1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3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5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7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9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14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754" w:hanging="360"/>
      </w:pPr>
      <w:rPr>
        <w:rFonts w:hint="default" w:ascii="Courier New" w:hAnsi="Courier New" w:cs="Times New Roman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7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9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1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3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5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7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9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14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754" w:hanging="360"/>
      </w:pPr>
      <w:rPr>
        <w:rFonts w:hint="default" w:ascii="Courier New" w:hAnsi="Courier New" w:cs="Times New Roman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7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9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1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3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5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7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9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14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754" w:hanging="360"/>
      </w:pPr>
      <w:rPr>
        <w:rFonts w:hint="default" w:ascii="Courier New" w:hAnsi="Courier New" w:cs="Times New Roman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7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9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1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3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5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7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9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14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754" w:hanging="360"/>
      </w:pPr>
      <w:rPr>
        <w:rFonts w:hint="default" w:ascii="Courier New" w:hAnsi="Courier New" w:cs="Times New Roman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7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9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1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3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5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7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9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14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654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55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56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57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58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59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60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61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62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63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64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65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66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67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68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9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0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1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2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3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4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5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6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7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8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9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0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1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2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83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684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685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686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687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688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689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690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691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692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693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694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695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696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697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698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699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00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01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02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03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18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19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20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21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22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23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24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39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40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41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42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43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44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45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46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47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48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49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50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51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52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53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54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55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56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57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58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59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60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61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62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63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64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65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66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67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68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69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70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71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72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73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74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75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76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77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78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79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780" w:default="1">
    <w:name w:val="Normal"/>
    <w:qFormat/>
    <w:pPr>
      <w:jc w:val="left"/>
      <w:spacing w:before="0" w:beforeAutospacing="0" w:after="200" w:afterAutospacing="0" w:line="276" w:lineRule="auto"/>
      <w:widowControl/>
    </w:pPr>
    <w:rPr>
      <w:rFonts w:ascii="Arial" w:hAnsi="Arial" w:eastAsia="Arial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781">
    <w:name w:val="Heading 1"/>
    <w:basedOn w:val="780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82">
    <w:name w:val="Heading 2"/>
    <w:basedOn w:val="780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83">
    <w:name w:val="Heading 3"/>
    <w:basedOn w:val="78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84">
    <w:name w:val="Heading 4"/>
    <w:basedOn w:val="78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85">
    <w:name w:val="Heading 5"/>
    <w:basedOn w:val="78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86">
    <w:name w:val="Heading 6"/>
    <w:basedOn w:val="78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787">
    <w:name w:val="Heading 7"/>
    <w:basedOn w:val="78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788">
    <w:name w:val="Heading 8"/>
    <w:basedOn w:val="78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789">
    <w:name w:val="Heading 9"/>
    <w:basedOn w:val="78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90">
    <w:name w:val="Heading 1 Char"/>
    <w:basedOn w:val="807"/>
    <w:uiPriority w:val="9"/>
    <w:qFormat/>
    <w:rPr>
      <w:rFonts w:ascii="Arial" w:hAnsi="Arial" w:eastAsia="Arial" w:cs="Arial"/>
      <w:sz w:val="40"/>
      <w:szCs w:val="40"/>
    </w:rPr>
  </w:style>
  <w:style w:type="character" w:styleId="791">
    <w:name w:val="Heading 2 Char"/>
    <w:basedOn w:val="807"/>
    <w:uiPriority w:val="9"/>
    <w:qFormat/>
    <w:rPr>
      <w:rFonts w:ascii="Arial" w:hAnsi="Arial" w:eastAsia="Arial" w:cs="Arial"/>
      <w:sz w:val="34"/>
    </w:rPr>
  </w:style>
  <w:style w:type="character" w:styleId="792">
    <w:name w:val="Heading 3 Char"/>
    <w:basedOn w:val="807"/>
    <w:uiPriority w:val="9"/>
    <w:qFormat/>
    <w:rPr>
      <w:rFonts w:ascii="Arial" w:hAnsi="Arial" w:eastAsia="Arial" w:cs="Arial"/>
      <w:sz w:val="30"/>
      <w:szCs w:val="30"/>
    </w:rPr>
  </w:style>
  <w:style w:type="character" w:styleId="793">
    <w:name w:val="Heading 4 Char"/>
    <w:basedOn w:val="807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794">
    <w:name w:val="Heading 5 Char"/>
    <w:basedOn w:val="807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795">
    <w:name w:val="Heading 6 Char"/>
    <w:basedOn w:val="807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96">
    <w:name w:val="Heading 7 Char"/>
    <w:basedOn w:val="807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797">
    <w:name w:val="Heading 8 Char"/>
    <w:basedOn w:val="807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798">
    <w:name w:val="Heading 9 Char"/>
    <w:basedOn w:val="807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799">
    <w:name w:val="Title Char"/>
    <w:basedOn w:val="807"/>
    <w:uiPriority w:val="10"/>
    <w:qFormat/>
    <w:rPr>
      <w:sz w:val="48"/>
      <w:szCs w:val="48"/>
    </w:rPr>
  </w:style>
  <w:style w:type="character" w:styleId="800">
    <w:name w:val="Subtitle Char"/>
    <w:basedOn w:val="807"/>
    <w:uiPriority w:val="11"/>
    <w:qFormat/>
    <w:rPr>
      <w:sz w:val="24"/>
      <w:szCs w:val="24"/>
    </w:rPr>
  </w:style>
  <w:style w:type="character" w:styleId="801">
    <w:name w:val="Quote Char"/>
    <w:uiPriority w:val="29"/>
    <w:qFormat/>
    <w:rPr>
      <w:i/>
    </w:rPr>
  </w:style>
  <w:style w:type="character" w:styleId="802">
    <w:name w:val="Intense Quote Char"/>
    <w:uiPriority w:val="30"/>
    <w:qFormat/>
    <w:rPr>
      <w:i/>
    </w:rPr>
  </w:style>
  <w:style w:type="character" w:styleId="803">
    <w:name w:val="Header Char"/>
    <w:basedOn w:val="807"/>
    <w:uiPriority w:val="99"/>
    <w:qFormat/>
  </w:style>
  <w:style w:type="character" w:styleId="804">
    <w:name w:val="Caption Char"/>
    <w:uiPriority w:val="99"/>
    <w:qFormat/>
  </w:style>
  <w:style w:type="character" w:styleId="805">
    <w:name w:val="Footnote Text Char"/>
    <w:uiPriority w:val="99"/>
    <w:qFormat/>
    <w:rPr>
      <w:sz w:val="18"/>
    </w:rPr>
  </w:style>
  <w:style w:type="character" w:styleId="806">
    <w:name w:val="Endnote Text Char"/>
    <w:uiPriority w:val="99"/>
    <w:qFormat/>
    <w:rPr>
      <w:sz w:val="20"/>
    </w:rPr>
  </w:style>
  <w:style w:type="character" w:styleId="807" w:default="1">
    <w:name w:val="Default Paragraph Font"/>
    <w:uiPriority w:val="1"/>
    <w:semiHidden/>
    <w:unhideWhenUsed/>
    <w:qFormat/>
  </w:style>
  <w:style w:type="character" w:styleId="808" w:customStyle="1">
    <w:name w:val="Заголовок 1 Знак"/>
    <w:uiPriority w:val="9"/>
    <w:qFormat/>
    <w:rPr>
      <w:rFonts w:ascii="Arial" w:hAnsi="Arial" w:eastAsia="Arial" w:cs="Arial"/>
      <w:sz w:val="40"/>
      <w:szCs w:val="40"/>
    </w:rPr>
  </w:style>
  <w:style w:type="character" w:styleId="809" w:customStyle="1">
    <w:name w:val="Заголовок 2 Знак"/>
    <w:uiPriority w:val="9"/>
    <w:qFormat/>
    <w:rPr>
      <w:rFonts w:ascii="Arial" w:hAnsi="Arial" w:eastAsia="Arial" w:cs="Arial"/>
      <w:sz w:val="34"/>
    </w:rPr>
  </w:style>
  <w:style w:type="character" w:styleId="810" w:customStyle="1">
    <w:name w:val="Заголовок 3 Знак"/>
    <w:uiPriority w:val="9"/>
    <w:qFormat/>
    <w:rPr>
      <w:rFonts w:ascii="Arial" w:hAnsi="Arial" w:eastAsia="Arial" w:cs="Arial"/>
      <w:sz w:val="30"/>
      <w:szCs w:val="30"/>
    </w:rPr>
  </w:style>
  <w:style w:type="character" w:styleId="811" w:customStyle="1">
    <w:name w:val="Заголовок 4 Знак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812" w:customStyle="1">
    <w:name w:val="Заголовок 5 Знак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813" w:customStyle="1">
    <w:name w:val="Заголовок 6 Знак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814" w:customStyle="1">
    <w:name w:val="Заголовок 7 Знак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815" w:customStyle="1">
    <w:name w:val="Заголовок 8 Знак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816" w:customStyle="1">
    <w:name w:val="Заголовок 9 Знак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817" w:customStyle="1">
    <w:name w:val="Заголовок Знак"/>
    <w:uiPriority w:val="10"/>
    <w:qFormat/>
    <w:rPr>
      <w:sz w:val="48"/>
      <w:szCs w:val="48"/>
    </w:rPr>
  </w:style>
  <w:style w:type="character" w:styleId="818" w:customStyle="1">
    <w:name w:val="Подзаголовок Знак"/>
    <w:uiPriority w:val="11"/>
    <w:qFormat/>
    <w:rPr>
      <w:sz w:val="24"/>
      <w:szCs w:val="24"/>
    </w:rPr>
  </w:style>
  <w:style w:type="character" w:styleId="819" w:customStyle="1">
    <w:name w:val="Цитата 2 Знак"/>
    <w:uiPriority w:val="29"/>
    <w:qFormat/>
    <w:rPr>
      <w:i/>
    </w:rPr>
  </w:style>
  <w:style w:type="character" w:styleId="820" w:customStyle="1">
    <w:name w:val="Выделенная цитата Знак"/>
    <w:uiPriority w:val="30"/>
    <w:qFormat/>
    <w:rPr>
      <w:i/>
    </w:rPr>
  </w:style>
  <w:style w:type="character" w:styleId="821" w:customStyle="1">
    <w:name w:val="Верхний колонтитул Знак"/>
    <w:uiPriority w:val="99"/>
    <w:qFormat/>
  </w:style>
  <w:style w:type="character" w:styleId="822" w:customStyle="1">
    <w:name w:val="Footer Char"/>
    <w:uiPriority w:val="99"/>
    <w:qFormat/>
  </w:style>
  <w:style w:type="character" w:styleId="823" w:customStyle="1">
    <w:name w:val="Нижний колонтитул Знак"/>
    <w:uiPriority w:val="99"/>
    <w:qFormat/>
  </w:style>
  <w:style w:type="character" w:styleId="824">
    <w:name w:val="Hyperlink"/>
    <w:uiPriority w:val="99"/>
    <w:unhideWhenUsed/>
    <w:rPr>
      <w:color w:val="0563c1" w:themeColor="hyperlink"/>
      <w:u w:val="single"/>
    </w:rPr>
  </w:style>
  <w:style w:type="character" w:styleId="825" w:customStyle="1">
    <w:name w:val="Текст сноски Знак"/>
    <w:uiPriority w:val="99"/>
    <w:qFormat/>
    <w:rPr>
      <w:sz w:val="18"/>
    </w:rPr>
  </w:style>
  <w:style w:type="character" w:styleId="826">
    <w:name w:val="Символ сноски"/>
    <w:uiPriority w:val="99"/>
    <w:unhideWhenUsed/>
    <w:qFormat/>
    <w:rPr>
      <w:vertAlign w:val="superscript"/>
    </w:rPr>
  </w:style>
  <w:style w:type="character" w:styleId="827">
    <w:name w:val="footnote reference"/>
    <w:rPr>
      <w:vertAlign w:val="superscript"/>
    </w:rPr>
  </w:style>
  <w:style w:type="character" w:styleId="828" w:customStyle="1">
    <w:name w:val="Текст концевой сноски Знак"/>
    <w:uiPriority w:val="99"/>
    <w:qFormat/>
    <w:rPr>
      <w:sz w:val="20"/>
    </w:rPr>
  </w:style>
  <w:style w:type="character" w:styleId="829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830">
    <w:name w:val="endnote reference"/>
    <w:rPr>
      <w:vertAlign w:val="superscript"/>
    </w:rPr>
  </w:style>
  <w:style w:type="paragraph" w:styleId="831">
    <w:name w:val="Заголовок"/>
    <w:basedOn w:val="780"/>
    <w:next w:val="832"/>
    <w:qFormat/>
    <w:pPr>
      <w:keepNext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832">
    <w:name w:val="Body Text"/>
    <w:basedOn w:val="780"/>
    <w:pPr>
      <w:spacing w:before="0" w:after="140" w:line="276" w:lineRule="auto"/>
    </w:pPr>
  </w:style>
  <w:style w:type="paragraph" w:styleId="833">
    <w:name w:val="List"/>
    <w:basedOn w:val="832"/>
    <w:rPr>
      <w:rFonts w:cs="Arial Unicode MS"/>
    </w:rPr>
  </w:style>
  <w:style w:type="paragraph" w:styleId="834">
    <w:name w:val="Caption"/>
    <w:basedOn w:val="780"/>
    <w:link w:val="804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paragraph" w:styleId="835">
    <w:name w:val="Указатель"/>
    <w:basedOn w:val="780"/>
    <w:qFormat/>
    <w:pPr>
      <w:suppressLineNumbers/>
    </w:pPr>
    <w:rPr>
      <w:rFonts w:cs="Arial Unicode MS"/>
    </w:rPr>
  </w:style>
  <w:style w:type="paragraph" w:styleId="836">
    <w:name w:val="Title"/>
    <w:basedOn w:val="780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837">
    <w:name w:val="Subtitle"/>
    <w:basedOn w:val="780"/>
    <w:uiPriority w:val="11"/>
    <w:qFormat/>
    <w:pPr>
      <w:spacing w:before="200" w:after="200"/>
    </w:pPr>
    <w:rPr>
      <w:sz w:val="24"/>
      <w:szCs w:val="24"/>
    </w:rPr>
  </w:style>
  <w:style w:type="paragraph" w:styleId="838">
    <w:name w:val="Quote"/>
    <w:basedOn w:val="780"/>
    <w:uiPriority w:val="29"/>
    <w:qFormat/>
    <w:pPr>
      <w:ind w:left="720" w:right="720" w:firstLine="0"/>
    </w:pPr>
    <w:rPr>
      <w:i/>
    </w:rPr>
  </w:style>
  <w:style w:type="paragraph" w:styleId="839">
    <w:name w:val="Intense Quote"/>
    <w:basedOn w:val="780"/>
    <w:uiPriority w:val="30"/>
    <w:qFormat/>
    <w:pPr>
      <w:ind w:left="720" w:right="720" w:firstLine="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840">
    <w:name w:val="Колонтитул"/>
    <w:basedOn w:val="780"/>
    <w:qFormat/>
  </w:style>
  <w:style w:type="paragraph" w:styleId="841">
    <w:name w:val="Header"/>
    <w:basedOn w:val="780"/>
    <w:uiPriority w:val="99"/>
    <w:unhideWhenUsed/>
    <w:pPr>
      <w:spacing w:before="0" w:after="0" w:line="240" w:lineRule="auto"/>
      <w:tabs>
        <w:tab w:val="clear" w:pos="708" w:leader="none"/>
        <w:tab w:val="center" w:pos="7143" w:leader="none"/>
        <w:tab w:val="right" w:pos="14287" w:leader="none"/>
      </w:tabs>
    </w:pPr>
  </w:style>
  <w:style w:type="paragraph" w:styleId="842">
    <w:name w:val="Footer"/>
    <w:basedOn w:val="780"/>
    <w:uiPriority w:val="99"/>
    <w:unhideWhenUsed/>
    <w:pPr>
      <w:spacing w:before="0" w:after="0" w:line="240" w:lineRule="auto"/>
      <w:tabs>
        <w:tab w:val="clear" w:pos="708" w:leader="none"/>
        <w:tab w:val="center" w:pos="7143" w:leader="none"/>
        <w:tab w:val="right" w:pos="14287" w:leader="none"/>
      </w:tabs>
    </w:pPr>
  </w:style>
  <w:style w:type="paragraph" w:styleId="843">
    <w:name w:val="footnote text"/>
    <w:basedOn w:val="780"/>
    <w:uiPriority w:val="99"/>
    <w:semiHidden/>
    <w:unhideWhenUsed/>
    <w:pPr>
      <w:spacing w:before="0" w:after="40" w:line="240" w:lineRule="auto"/>
    </w:pPr>
    <w:rPr>
      <w:sz w:val="18"/>
    </w:rPr>
  </w:style>
  <w:style w:type="paragraph" w:styleId="844">
    <w:name w:val="endnote text"/>
    <w:basedOn w:val="780"/>
    <w:uiPriority w:val="99"/>
    <w:semiHidden/>
    <w:unhideWhenUsed/>
    <w:pPr>
      <w:spacing w:before="0" w:after="0" w:line="240" w:lineRule="auto"/>
    </w:pPr>
    <w:rPr>
      <w:sz w:val="20"/>
    </w:rPr>
  </w:style>
  <w:style w:type="paragraph" w:styleId="845">
    <w:name w:val="toc 1"/>
    <w:basedOn w:val="780"/>
    <w:uiPriority w:val="39"/>
    <w:unhideWhenUsed/>
    <w:pPr>
      <w:spacing w:before="0" w:after="57"/>
    </w:pPr>
  </w:style>
  <w:style w:type="paragraph" w:styleId="846">
    <w:name w:val="toc 2"/>
    <w:basedOn w:val="780"/>
    <w:uiPriority w:val="39"/>
    <w:unhideWhenUsed/>
    <w:pPr>
      <w:ind w:left="283" w:firstLine="0"/>
      <w:spacing w:before="0" w:after="57"/>
    </w:pPr>
  </w:style>
  <w:style w:type="paragraph" w:styleId="847">
    <w:name w:val="toc 3"/>
    <w:basedOn w:val="780"/>
    <w:uiPriority w:val="39"/>
    <w:unhideWhenUsed/>
    <w:pPr>
      <w:ind w:left="567" w:firstLine="0"/>
      <w:spacing w:before="0" w:after="57"/>
    </w:pPr>
  </w:style>
  <w:style w:type="paragraph" w:styleId="848">
    <w:name w:val="toc 4"/>
    <w:basedOn w:val="780"/>
    <w:uiPriority w:val="39"/>
    <w:unhideWhenUsed/>
    <w:pPr>
      <w:ind w:left="850" w:firstLine="0"/>
      <w:spacing w:before="0" w:after="57"/>
    </w:pPr>
  </w:style>
  <w:style w:type="paragraph" w:styleId="849">
    <w:name w:val="toc 5"/>
    <w:basedOn w:val="780"/>
    <w:uiPriority w:val="39"/>
    <w:unhideWhenUsed/>
    <w:pPr>
      <w:ind w:left="1134" w:firstLine="0"/>
      <w:spacing w:before="0" w:after="57"/>
    </w:pPr>
  </w:style>
  <w:style w:type="paragraph" w:styleId="850">
    <w:name w:val="toc 6"/>
    <w:basedOn w:val="780"/>
    <w:uiPriority w:val="39"/>
    <w:unhideWhenUsed/>
    <w:pPr>
      <w:ind w:left="1417" w:firstLine="0"/>
      <w:spacing w:before="0" w:after="57"/>
    </w:pPr>
  </w:style>
  <w:style w:type="paragraph" w:styleId="851">
    <w:name w:val="toc 7"/>
    <w:basedOn w:val="780"/>
    <w:uiPriority w:val="39"/>
    <w:unhideWhenUsed/>
    <w:pPr>
      <w:ind w:left="1701" w:firstLine="0"/>
      <w:spacing w:before="0" w:after="57"/>
    </w:pPr>
  </w:style>
  <w:style w:type="paragraph" w:styleId="852">
    <w:name w:val="toc 8"/>
    <w:basedOn w:val="780"/>
    <w:uiPriority w:val="39"/>
    <w:unhideWhenUsed/>
    <w:pPr>
      <w:ind w:left="1984" w:firstLine="0"/>
      <w:spacing w:before="0" w:after="57"/>
    </w:pPr>
  </w:style>
  <w:style w:type="paragraph" w:styleId="853">
    <w:name w:val="toc 9"/>
    <w:basedOn w:val="780"/>
    <w:uiPriority w:val="39"/>
    <w:unhideWhenUsed/>
    <w:pPr>
      <w:ind w:left="2268" w:firstLine="0"/>
      <w:spacing w:before="0" w:after="57"/>
    </w:pPr>
  </w:style>
  <w:style w:type="paragraph" w:styleId="854">
    <w:name w:val="Index Heading"/>
    <w:basedOn w:val="831"/>
  </w:style>
  <w:style w:type="paragraph" w:styleId="855">
    <w:name w:val="TOC Heading"/>
    <w:uiPriority w:val="39"/>
    <w:unhideWhenUsed/>
    <w:qFormat/>
    <w:pPr>
      <w:jc w:val="left"/>
      <w:spacing w:before="0" w:beforeAutospacing="0" w:after="200" w:afterAutospacing="0" w:line="276" w:lineRule="auto"/>
      <w:widowControl/>
    </w:pPr>
    <w:rPr>
      <w:rFonts w:ascii="Arial" w:hAnsi="Arial" w:eastAsia="Arial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856">
    <w:name w:val="table of figures"/>
    <w:basedOn w:val="780"/>
    <w:uiPriority w:val="99"/>
    <w:unhideWhenUsed/>
    <w:qFormat/>
    <w:pPr>
      <w:spacing w:before="0" w:after="0"/>
    </w:pPr>
  </w:style>
  <w:style w:type="paragraph" w:styleId="857">
    <w:name w:val="No Spacing"/>
    <w:basedOn w:val="780"/>
    <w:uiPriority w:val="1"/>
    <w:qFormat/>
    <w:pPr>
      <w:spacing w:before="0" w:after="0" w:line="240" w:lineRule="auto"/>
    </w:pPr>
  </w:style>
  <w:style w:type="paragraph" w:styleId="858">
    <w:name w:val="List Paragraph"/>
    <w:basedOn w:val="780"/>
    <w:uiPriority w:val="34"/>
    <w:qFormat/>
    <w:pPr>
      <w:contextualSpacing/>
      <w:ind w:left="720" w:firstLine="0"/>
      <w:spacing w:before="0" w:after="200"/>
    </w:pPr>
  </w:style>
  <w:style w:type="paragraph" w:styleId="859">
    <w:name w:val="Содержимое таблицы"/>
    <w:basedOn w:val="780"/>
    <w:qFormat/>
    <w:pPr>
      <w:widowControl w:val="off"/>
      <w:suppressLineNumbers/>
    </w:pPr>
  </w:style>
  <w:style w:type="paragraph" w:styleId="860">
    <w:name w:val="Заголовок таблицы"/>
    <w:basedOn w:val="859"/>
    <w:qFormat/>
    <w:pPr>
      <w:jc w:val="center"/>
      <w:suppressLineNumbers/>
    </w:pPr>
    <w:rPr>
      <w:b/>
      <w:bCs/>
    </w:rPr>
  </w:style>
  <w:style w:type="numbering" w:styleId="861" w:default="1">
    <w:name w:val="No List"/>
    <w:uiPriority w:val="99"/>
    <w:semiHidden/>
    <w:unhideWhenUsed/>
    <w:qFormat/>
  </w:style>
  <w:style w:type="table" w:styleId="862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DVGK</Company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dc:language>ru-RU</dc:language>
  <cp:lastModifiedBy>gladysheva_lr</cp:lastModifiedBy>
  <cp:revision>15</cp:revision>
  <dcterms:created xsi:type="dcterms:W3CDTF">2024-09-30T23:24:00Z</dcterms:created>
  <dcterms:modified xsi:type="dcterms:W3CDTF">2026-04-20T01:54:54Z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